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settings.xml" ContentType="application/vnd.openxmlformats-officedocument.wordprocessingml.settings+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Berschrift"/>
        <w:bidi w:val="0"/>
        <w:spacing w:before="240" w:after="120"/>
        <w:jc w:val="center"/>
        <w:rPr/>
      </w:pPr>
      <w:r>
        <w:rPr>
          <w:rFonts w:ascii="Rubik" w:hAnsi="Rubik"/>
          <w:b w:val="false"/>
          <w:bCs w:val="false"/>
        </w:rPr>
        <w:t xml:space="preserve">Es besteht eine außerordentlich hohe Kriegsgefahr und damit die </w:t>
      </w:r>
      <w:r>
        <w:rPr>
          <w:rFonts w:ascii="Rubik" w:hAnsi="Rubik"/>
          <w:b w:val="false"/>
          <w:bCs w:val="false"/>
        </w:rPr>
        <w:t>Gefahr der</w:t>
      </w:r>
      <w:r>
        <w:rPr>
          <w:rFonts w:ascii="Rubik" w:hAnsi="Rubik"/>
          <w:b w:val="false"/>
          <w:bCs w:val="false"/>
        </w:rPr>
        <w:t xml:space="preserve"> Auslöschung der Menschheit bzw. der Zivilisation, wie wir sie kennen.</w:t>
      </w:r>
    </w:p>
    <w:p>
      <w:pPr>
        <w:pStyle w:val="Normal"/>
        <w:bidi w:val="0"/>
        <w:jc w:val="left"/>
        <w:rPr>
          <w:rFonts w:ascii="Rubik" w:hAnsi="Rubik"/>
          <w:b w:val="false"/>
          <w:b w:val="false"/>
          <w:bCs w:val="false"/>
          <w:color w:val="000000"/>
          <w:sz w:val="24"/>
          <w:szCs w:val="24"/>
        </w:rPr>
      </w:pPr>
      <w:r>
        <w:rPr>
          <w:rFonts w:ascii="Rubik" w:hAnsi="Rubik"/>
          <w:b w:val="false"/>
          <w:bCs w:val="false"/>
          <w:color w:val="000000"/>
          <w:sz w:val="24"/>
          <w:szCs w:val="24"/>
        </w:rPr>
        <w:t xml:space="preserve">Seit 2002 erfolgte durch die USA die Kündigung, </w:t>
      </w:r>
      <w:r>
        <w:rPr>
          <w:rFonts w:ascii="Rubik" w:hAnsi="Rubik"/>
          <w:b w:val="false"/>
          <w:bCs w:val="false"/>
          <w:color w:val="000000"/>
          <w:sz w:val="24"/>
          <w:szCs w:val="24"/>
        </w:rPr>
        <w:t xml:space="preserve">die </w:t>
      </w:r>
      <w:r>
        <w:rPr>
          <w:rFonts w:ascii="Rubik" w:hAnsi="Rubik"/>
          <w:b w:val="false"/>
          <w:bCs w:val="false"/>
          <w:color w:val="000000"/>
          <w:sz w:val="24"/>
          <w:szCs w:val="24"/>
        </w:rPr>
        <w:t xml:space="preserve">Ablehnung von Kontrollmaßnahmen nach </w:t>
      </w:r>
      <w:r>
        <w:rPr>
          <w:rFonts w:ascii="Rubik" w:hAnsi="Rubik"/>
          <w:b w:val="false"/>
          <w:bCs w:val="false"/>
          <w:color w:val="000000"/>
          <w:sz w:val="24"/>
          <w:szCs w:val="24"/>
        </w:rPr>
        <w:t xml:space="preserve">eigenen </w:t>
      </w:r>
      <w:r>
        <w:rPr>
          <w:rFonts w:ascii="Rubik" w:hAnsi="Rubik"/>
          <w:b w:val="false"/>
          <w:bCs w:val="false"/>
          <w:color w:val="000000"/>
          <w:sz w:val="24"/>
          <w:szCs w:val="24"/>
        </w:rPr>
        <w:t>Verletzungsvorwürfen bzw. die Nichtverlängerung großer Abrüstungs- Rüstungsbegrenzungs- und friedenssichernden Verträge:</w:t>
      </w:r>
    </w:p>
    <w:p>
      <w:pPr>
        <w:pStyle w:val="Normal"/>
        <w:numPr>
          <w:ilvl w:val="0"/>
          <w:numId w:val="2"/>
        </w:numPr>
        <w:bidi w:val="0"/>
        <w:jc w:val="left"/>
        <w:rPr>
          <w:rFonts w:ascii="Rubik" w:hAnsi="Rubik"/>
          <w:sz w:val="24"/>
          <w:szCs w:val="24"/>
        </w:rPr>
      </w:pPr>
      <w:r>
        <w:rPr>
          <w:rFonts w:ascii="Rubik" w:hAnsi="Rubik"/>
          <w:b w:val="false"/>
          <w:bCs w:val="false"/>
          <w:color w:val="000000"/>
          <w:sz w:val="24"/>
          <w:szCs w:val="24"/>
        </w:rPr>
        <w:t>ABM-Vertrag(SALT) (Verbot Raketenabwehrsysteme)– 2002</w:t>
      </w:r>
    </w:p>
    <w:p>
      <w:pPr>
        <w:pStyle w:val="Normal"/>
        <w:numPr>
          <w:ilvl w:val="0"/>
          <w:numId w:val="2"/>
        </w:numPr>
        <w:bidi w:val="0"/>
        <w:jc w:val="left"/>
        <w:rPr>
          <w:rFonts w:ascii="Rubik" w:hAnsi="Rubik"/>
          <w:sz w:val="24"/>
          <w:szCs w:val="24"/>
        </w:rPr>
      </w:pPr>
      <w:r>
        <w:rPr>
          <w:rFonts w:ascii="Rubik" w:hAnsi="Rubik"/>
          <w:b w:val="false"/>
          <w:bCs w:val="false"/>
          <w:color w:val="000000"/>
          <w:sz w:val="24"/>
          <w:szCs w:val="24"/>
        </w:rPr>
        <w:t>INF-Vertrag (Verbot Mittelstreckenraketen Europa) -2020</w:t>
      </w:r>
    </w:p>
    <w:p>
      <w:pPr>
        <w:pStyle w:val="Normal"/>
        <w:numPr>
          <w:ilvl w:val="0"/>
          <w:numId w:val="2"/>
        </w:numPr>
        <w:bidi w:val="0"/>
        <w:jc w:val="left"/>
        <w:rPr>
          <w:rFonts w:ascii="Rubik" w:hAnsi="Rubik"/>
          <w:b w:val="false"/>
          <w:b w:val="false"/>
          <w:bCs w:val="false"/>
          <w:color w:val="000000"/>
          <w:sz w:val="24"/>
          <w:szCs w:val="24"/>
        </w:rPr>
      </w:pPr>
      <w:r>
        <w:rPr>
          <w:rFonts w:ascii="Rubik" w:hAnsi="Rubik"/>
          <w:b w:val="false"/>
          <w:bCs w:val="false"/>
          <w:color w:val="000000"/>
          <w:sz w:val="24"/>
          <w:szCs w:val="24"/>
        </w:rPr>
        <w:t>Open Skies-Vertrag (gegenseitige Gestattung von Luftüberwachungsflügen) -2020</w:t>
      </w:r>
    </w:p>
    <w:p>
      <w:pPr>
        <w:pStyle w:val="Normal"/>
        <w:numPr>
          <w:ilvl w:val="0"/>
          <w:numId w:val="2"/>
        </w:numPr>
        <w:bidi w:val="0"/>
        <w:jc w:val="left"/>
        <w:rPr>
          <w:rFonts w:ascii="Rubik" w:hAnsi="Rubik"/>
          <w:b w:val="false"/>
          <w:b w:val="false"/>
          <w:bCs w:val="false"/>
          <w:color w:val="000000"/>
          <w:sz w:val="24"/>
          <w:szCs w:val="24"/>
        </w:rPr>
      </w:pPr>
      <w:r>
        <w:rPr>
          <w:rFonts w:ascii="Rubik" w:hAnsi="Rubik"/>
          <w:b w:val="false"/>
          <w:bCs w:val="false"/>
          <w:color w:val="000000"/>
          <w:sz w:val="24"/>
          <w:szCs w:val="24"/>
        </w:rPr>
        <w:t>START-Vertragssystem (Reduzierung und Begrenzung strategischer Atomwaffenträgersysteme und Sprengköpfe) -Auslauf 2021, glücklicherweise kurzfristig durch Präsident Biden wieder verlängert</w:t>
      </w:r>
    </w:p>
    <w:p>
      <w:pPr>
        <w:pStyle w:val="Normal"/>
        <w:bidi w:val="0"/>
        <w:jc w:val="left"/>
        <w:rPr>
          <w:rFonts w:ascii="Rubik" w:hAnsi="Rubik"/>
          <w:b w:val="false"/>
          <w:b w:val="false"/>
          <w:bCs w:val="false"/>
          <w:color w:val="000000"/>
          <w:sz w:val="24"/>
          <w:szCs w:val="24"/>
        </w:rPr>
      </w:pPr>
      <w:r>
        <w:rPr>
          <w:rFonts w:ascii="Rubik" w:hAnsi="Rubik"/>
          <w:b w:val="false"/>
          <w:bCs w:val="false"/>
          <w:color w:val="000000"/>
          <w:sz w:val="24"/>
          <w:szCs w:val="24"/>
        </w:rPr>
      </w:r>
    </w:p>
    <w:p>
      <w:pPr>
        <w:pStyle w:val="Normal"/>
        <w:bidi w:val="0"/>
        <w:jc w:val="left"/>
        <w:rPr>
          <w:rFonts w:ascii="Rubik" w:hAnsi="Rubik"/>
          <w:b w:val="false"/>
          <w:b w:val="false"/>
          <w:bCs w:val="false"/>
          <w:color w:val="000000"/>
          <w:sz w:val="24"/>
          <w:szCs w:val="24"/>
        </w:rPr>
      </w:pPr>
      <w:r>
        <w:rPr>
          <w:rFonts w:ascii="Rubik" w:hAnsi="Rubik"/>
          <w:b w:val="false"/>
          <w:bCs w:val="false"/>
          <w:color w:val="000000"/>
          <w:sz w:val="24"/>
          <w:szCs w:val="24"/>
        </w:rPr>
        <w:t>Deutschland und alle NATO- und Atomwaffenmächte stimmten  2017 in der UN gegen den Atomwaffenverbotsvertrag, der 2021 in Kraft trat.</w:t>
      </w:r>
    </w:p>
    <w:p>
      <w:pPr>
        <w:pStyle w:val="Normal"/>
        <w:bidi w:val="0"/>
        <w:jc w:val="left"/>
        <w:rPr>
          <w:rFonts w:ascii="Rubik" w:hAnsi="Rubik"/>
          <w:b w:val="false"/>
          <w:b w:val="false"/>
          <w:bCs w:val="false"/>
          <w:color w:val="000000"/>
          <w:sz w:val="24"/>
          <w:szCs w:val="24"/>
        </w:rPr>
      </w:pPr>
      <w:r>
        <w:rPr>
          <w:rFonts w:ascii="Rubik" w:hAnsi="Rubik"/>
          <w:b w:val="false"/>
          <w:bCs w:val="false"/>
          <w:color w:val="000000"/>
          <w:sz w:val="24"/>
          <w:szCs w:val="24"/>
        </w:rPr>
      </w:r>
    </w:p>
    <w:p>
      <w:pPr>
        <w:pStyle w:val="Normal"/>
        <w:bidi w:val="0"/>
        <w:jc w:val="left"/>
        <w:rPr>
          <w:rFonts w:ascii="Rubik" w:hAnsi="Rubik"/>
          <w:b w:val="false"/>
          <w:b w:val="false"/>
          <w:bCs w:val="false"/>
          <w:color w:val="000000"/>
          <w:sz w:val="24"/>
          <w:szCs w:val="24"/>
        </w:rPr>
      </w:pPr>
      <w:r>
        <w:rPr>
          <w:rFonts w:ascii="Rubik" w:hAnsi="Rubik"/>
          <w:b w:val="false"/>
          <w:bCs w:val="false"/>
          <w:color w:val="000000"/>
          <w:sz w:val="24"/>
          <w:szCs w:val="24"/>
        </w:rPr>
        <w:t>Die Weltuntergangsuhr, erstellt von hochrangigen Wissenschaftlern weltweit,  steht deshalb seit dem Jahre 2020 auf 100 Sekunden vor Weltuntergang, so nah am Untergang wie noch nie seit ihrer Aufstellung im Jahre 1947.</w:t>
      </w:r>
    </w:p>
    <w:p>
      <w:pPr>
        <w:pStyle w:val="Normal"/>
        <w:bidi w:val="0"/>
        <w:jc w:val="left"/>
        <w:rPr>
          <w:rFonts w:ascii="Rubik" w:hAnsi="Rubik"/>
          <w:b w:val="false"/>
          <w:b w:val="false"/>
          <w:bCs w:val="false"/>
          <w:color w:val="000000"/>
          <w:sz w:val="24"/>
          <w:szCs w:val="24"/>
        </w:rPr>
      </w:pPr>
      <w:r>
        <w:rPr>
          <w:rFonts w:ascii="Rubik" w:hAnsi="Rubik"/>
          <w:b w:val="false"/>
          <w:bCs w:val="false"/>
          <w:color w:val="000000"/>
          <w:sz w:val="24"/>
          <w:szCs w:val="24"/>
        </w:rPr>
      </w:r>
    </w:p>
    <w:p>
      <w:pPr>
        <w:pStyle w:val="Normal"/>
        <w:bidi w:val="0"/>
        <w:jc w:val="left"/>
        <w:rPr>
          <w:rFonts w:ascii="Rubik" w:hAnsi="Rubik"/>
          <w:b w:val="false"/>
          <w:b w:val="false"/>
          <w:bCs w:val="false"/>
          <w:color w:val="000000"/>
          <w:sz w:val="24"/>
          <w:szCs w:val="24"/>
        </w:rPr>
      </w:pPr>
      <w:r>
        <w:rPr>
          <w:rFonts w:ascii="Rubik" w:hAnsi="Rubik"/>
          <w:b w:val="false"/>
          <w:bCs w:val="false"/>
          <w:color w:val="000000"/>
          <w:sz w:val="24"/>
          <w:szCs w:val="24"/>
        </w:rPr>
        <w:t xml:space="preserve">Die Nato ist schrittweise unter Verletzung 1990 erfolgter Zusagen bis an die russische Grenze erweitert worden. In den Jahren 2020/21 fanden und finden Manöver in unmittelbarer Grenznähe auch unter Beteiligung von Bundeswehrsoldaten </w:t>
      </w:r>
      <w:r>
        <w:rPr>
          <w:rFonts w:ascii="Rubik" w:hAnsi="Rubik"/>
          <w:b w:val="false"/>
          <w:bCs w:val="false"/>
          <w:color w:val="000000"/>
          <w:sz w:val="24"/>
          <w:szCs w:val="24"/>
        </w:rPr>
        <w:t>statt</w:t>
      </w:r>
      <w:r>
        <w:rPr>
          <w:rFonts w:ascii="Rubik" w:hAnsi="Rubik"/>
          <w:b w:val="false"/>
          <w:bCs w:val="false"/>
          <w:color w:val="000000"/>
          <w:sz w:val="24"/>
          <w:szCs w:val="24"/>
        </w:rPr>
        <w:t xml:space="preserve">. </w:t>
      </w:r>
    </w:p>
    <w:p>
      <w:pPr>
        <w:pStyle w:val="Normal"/>
        <w:bidi w:val="0"/>
        <w:jc w:val="left"/>
        <w:rPr>
          <w:rFonts w:ascii="Rubik" w:hAnsi="Rubik"/>
          <w:b w:val="false"/>
          <w:b w:val="false"/>
          <w:bCs w:val="false"/>
          <w:color w:val="000000"/>
          <w:sz w:val="24"/>
          <w:szCs w:val="24"/>
        </w:rPr>
      </w:pPr>
      <w:r>
        <w:rPr>
          <w:rFonts w:ascii="Rubik" w:hAnsi="Rubik"/>
          <w:b w:val="false"/>
          <w:bCs w:val="false"/>
          <w:color w:val="000000"/>
          <w:sz w:val="24"/>
          <w:szCs w:val="24"/>
        </w:rPr>
        <w:t>Bei Zwischenfällen besteht keinerlei Reaktionszeit der Gegenseite ohne direkte Einleitung von Gegenmaßnahmen,</w:t>
        <w:br/>
      </w:r>
      <w:r>
        <w:rPr>
          <w:rFonts w:ascii="Rubik" w:hAnsi="Rubik"/>
          <w:b w:val="false"/>
          <w:bCs w:val="false"/>
          <w:color w:val="000000"/>
          <w:sz w:val="24"/>
          <w:szCs w:val="24"/>
        </w:rPr>
        <w:t>Dieser Einsatz</w:t>
      </w:r>
      <w:r>
        <w:rPr>
          <w:rFonts w:ascii="Rubik" w:hAnsi="Rubik"/>
          <w:b w:val="false"/>
          <w:bCs w:val="false"/>
          <w:color w:val="000000"/>
          <w:sz w:val="24"/>
          <w:szCs w:val="24"/>
        </w:rPr>
        <w:t xml:space="preserve"> erfolgt</w:t>
      </w:r>
      <w:r>
        <w:rPr>
          <w:rFonts w:ascii="Rubik" w:hAnsi="Rubik"/>
          <w:b w:val="false"/>
          <w:bCs w:val="false"/>
          <w:color w:val="000000"/>
          <w:sz w:val="24"/>
          <w:szCs w:val="24"/>
        </w:rPr>
        <w:t>e</w:t>
      </w:r>
      <w:r>
        <w:rPr>
          <w:rFonts w:ascii="Rubik" w:hAnsi="Rubik"/>
          <w:b w:val="false"/>
          <w:bCs w:val="false"/>
          <w:color w:val="000000"/>
          <w:sz w:val="24"/>
          <w:szCs w:val="24"/>
        </w:rPr>
        <w:t xml:space="preserve"> ungeachtet des des Überfalls Hitlerdeutschlands auf die Sowjetunion vor 80 Jahren </w:t>
      </w:r>
      <w:r>
        <w:rPr>
          <w:rFonts w:ascii="Rubik" w:hAnsi="Rubik"/>
          <w:b w:val="false"/>
          <w:bCs w:val="false"/>
          <w:color w:val="000000"/>
          <w:sz w:val="24"/>
          <w:szCs w:val="24"/>
        </w:rPr>
        <w:t xml:space="preserve">mit 27 Millionen getöteter Sowjetbürger. </w:t>
        <w:br/>
        <w:t xml:space="preserve">Wir </w:t>
      </w:r>
      <w:r>
        <w:rPr>
          <w:rFonts w:eastAsia="SimSun" w:cs="Arial" w:ascii="Rubik" w:hAnsi="Rubik"/>
          <w:b w:val="false"/>
          <w:bCs w:val="false"/>
          <w:color w:val="000000"/>
          <w:kern w:val="2"/>
          <w:sz w:val="24"/>
          <w:szCs w:val="24"/>
          <w:lang w:val="de-DE" w:eastAsia="zh-CN" w:bidi="hi-IN"/>
        </w:rPr>
        <w:t>begingen</w:t>
      </w:r>
      <w:r>
        <w:rPr>
          <w:rFonts w:ascii="Rubik" w:hAnsi="Rubik"/>
          <w:b w:val="false"/>
          <w:bCs w:val="false"/>
          <w:color w:val="000000"/>
          <w:sz w:val="24"/>
          <w:szCs w:val="24"/>
        </w:rPr>
        <w:t xml:space="preserve"> am 22.6.21 </w:t>
      </w:r>
      <w:r>
        <w:rPr>
          <w:rFonts w:ascii="Rubik" w:hAnsi="Rubik"/>
          <w:b w:val="false"/>
          <w:bCs w:val="false"/>
          <w:color w:val="000000"/>
          <w:sz w:val="24"/>
          <w:szCs w:val="24"/>
        </w:rPr>
        <w:t>diesen Jahrestag trotz überwiegendem medialen Schweigen.</w:t>
      </w:r>
      <w:r>
        <w:rPr>
          <w:rFonts w:ascii="Rubik" w:hAnsi="Rubik"/>
          <w:b w:val="false"/>
          <w:bCs w:val="false"/>
          <w:color w:val="000000"/>
          <w:sz w:val="24"/>
          <w:szCs w:val="24"/>
        </w:rPr>
        <w:t xml:space="preserve"> </w:t>
        <w:br/>
      </w:r>
    </w:p>
    <w:p>
      <w:pPr>
        <w:pStyle w:val="Normal"/>
        <w:bidi w:val="0"/>
        <w:jc w:val="left"/>
        <w:rPr>
          <w:rFonts w:ascii="Rubik" w:hAnsi="Rubik"/>
          <w:b w:val="false"/>
          <w:b w:val="false"/>
          <w:bCs w:val="false"/>
          <w:color w:val="000000"/>
          <w:sz w:val="24"/>
          <w:szCs w:val="24"/>
        </w:rPr>
      </w:pPr>
      <w:r>
        <w:rPr>
          <w:rFonts w:ascii="Rubik" w:hAnsi="Rubik"/>
          <w:b w:val="false"/>
          <w:bCs w:val="false"/>
          <w:color w:val="000000"/>
          <w:sz w:val="24"/>
          <w:szCs w:val="24"/>
        </w:rPr>
        <w:t xml:space="preserve">Allein </w:t>
      </w:r>
      <w:r>
        <w:rPr>
          <w:rFonts w:ascii="Rubik" w:hAnsi="Rubik"/>
          <w:b w:val="false"/>
          <w:bCs w:val="false"/>
          <w:color w:val="000000"/>
          <w:sz w:val="24"/>
          <w:szCs w:val="24"/>
        </w:rPr>
        <w:t xml:space="preserve">US-Einheiten mit 40.000 Soldaten und Technik wurden dazu 2020 und 2021 </w:t>
      </w:r>
      <w:r>
        <w:rPr>
          <w:rFonts w:ascii="Rubik" w:hAnsi="Rubik"/>
          <w:b w:val="false"/>
          <w:bCs w:val="false"/>
          <w:color w:val="000000"/>
          <w:sz w:val="24"/>
          <w:szCs w:val="24"/>
        </w:rPr>
        <w:t xml:space="preserve">trotz Corona </w:t>
      </w:r>
      <w:r>
        <w:rPr>
          <w:rFonts w:ascii="Rubik" w:hAnsi="Rubik"/>
          <w:b w:val="false"/>
          <w:bCs w:val="false"/>
          <w:color w:val="000000"/>
          <w:sz w:val="24"/>
          <w:szCs w:val="24"/>
        </w:rPr>
        <w:t>aus den USA  über Straßen- und Schienenwege via Deutschland bzw. den Balkan als Drehscheibe zum Manöver befördert.</w:t>
      </w:r>
    </w:p>
    <w:p>
      <w:pPr>
        <w:pStyle w:val="Normal"/>
        <w:bidi w:val="0"/>
        <w:jc w:val="left"/>
        <w:rPr>
          <w:rFonts w:ascii="Rubik" w:hAnsi="Rubik"/>
          <w:b w:val="false"/>
          <w:b w:val="false"/>
          <w:bCs w:val="false"/>
          <w:color w:val="000000"/>
          <w:sz w:val="24"/>
          <w:szCs w:val="24"/>
        </w:rPr>
      </w:pPr>
      <w:r>
        <w:rPr>
          <w:rFonts w:ascii="Rubik" w:hAnsi="Rubik"/>
          <w:b w:val="false"/>
          <w:bCs w:val="false"/>
          <w:color w:val="000000"/>
          <w:sz w:val="24"/>
          <w:szCs w:val="24"/>
        </w:rPr>
      </w:r>
    </w:p>
    <w:p>
      <w:pPr>
        <w:pStyle w:val="Normal"/>
        <w:bidi w:val="0"/>
        <w:jc w:val="left"/>
        <w:rPr>
          <w:rFonts w:ascii="Rubik" w:hAnsi="Rubik"/>
          <w:b w:val="false"/>
          <w:b w:val="false"/>
          <w:bCs w:val="false"/>
          <w:color w:val="000000"/>
          <w:sz w:val="24"/>
          <w:szCs w:val="24"/>
        </w:rPr>
      </w:pPr>
      <w:r>
        <w:rPr>
          <w:rFonts w:ascii="Rubik" w:hAnsi="Rubik"/>
          <w:b w:val="false"/>
          <w:bCs w:val="false"/>
          <w:color w:val="000000"/>
          <w:sz w:val="24"/>
          <w:szCs w:val="24"/>
        </w:rPr>
        <w:t xml:space="preserve">Im Schwarzen Meer erfolgten provokative Marineoperationen im </w:t>
      </w:r>
      <w:r>
        <w:rPr>
          <w:rFonts w:ascii="Rubik" w:hAnsi="Rubik"/>
          <w:b w:val="false"/>
          <w:bCs w:val="false"/>
          <w:color w:val="000000"/>
          <w:sz w:val="24"/>
          <w:szCs w:val="24"/>
        </w:rPr>
        <w:t xml:space="preserve">jetzigen </w:t>
      </w:r>
      <w:r>
        <w:rPr>
          <w:rFonts w:ascii="Rubik" w:hAnsi="Rubik"/>
          <w:b w:val="false"/>
          <w:bCs w:val="false"/>
          <w:color w:val="000000"/>
          <w:sz w:val="24"/>
          <w:szCs w:val="24"/>
        </w:rPr>
        <w:t>russischen Hoheitsgebiet um die Krim, wie auch durch Veröffentlichung verlorengegangener Dokumente bekannt wurde.</w:t>
      </w:r>
    </w:p>
    <w:p>
      <w:pPr>
        <w:pStyle w:val="Normal"/>
        <w:bidi w:val="0"/>
        <w:jc w:val="left"/>
        <w:rPr>
          <w:rFonts w:ascii="Rubik" w:hAnsi="Rubik"/>
          <w:b w:val="false"/>
          <w:b w:val="false"/>
          <w:bCs w:val="false"/>
          <w:color w:val="000000"/>
          <w:sz w:val="24"/>
          <w:szCs w:val="24"/>
        </w:rPr>
      </w:pPr>
      <w:r>
        <w:rPr>
          <w:rFonts w:ascii="Rubik" w:hAnsi="Rubik"/>
          <w:b w:val="false"/>
          <w:bCs w:val="false"/>
          <w:color w:val="000000"/>
          <w:sz w:val="24"/>
          <w:szCs w:val="24"/>
        </w:rPr>
      </w:r>
    </w:p>
    <w:p>
      <w:pPr>
        <w:pStyle w:val="Normal"/>
        <w:bidi w:val="0"/>
        <w:jc w:val="left"/>
        <w:rPr>
          <w:rFonts w:ascii="Rubik" w:hAnsi="Rubik"/>
          <w:b w:val="false"/>
          <w:b w:val="false"/>
          <w:bCs w:val="false"/>
          <w:color w:val="000000"/>
          <w:sz w:val="24"/>
          <w:szCs w:val="24"/>
        </w:rPr>
      </w:pPr>
      <w:r>
        <w:rPr>
          <w:rFonts w:ascii="Rubik" w:hAnsi="Rubik"/>
          <w:b w:val="false"/>
          <w:bCs w:val="false"/>
          <w:color w:val="000000"/>
          <w:sz w:val="24"/>
          <w:szCs w:val="24"/>
        </w:rPr>
        <w:t xml:space="preserve">Der Rüstungswettlauf </w:t>
      </w:r>
      <w:r>
        <w:rPr>
          <w:rFonts w:ascii="Rubik" w:hAnsi="Rubik"/>
          <w:b w:val="false"/>
          <w:bCs w:val="false"/>
          <w:color w:val="000000"/>
          <w:sz w:val="24"/>
          <w:szCs w:val="24"/>
        </w:rPr>
        <w:t>erfolgt auch im</w:t>
      </w:r>
      <w:r>
        <w:rPr>
          <w:rFonts w:ascii="Rubik" w:hAnsi="Rubik"/>
          <w:b w:val="false"/>
          <w:bCs w:val="false"/>
          <w:color w:val="000000"/>
          <w:sz w:val="24"/>
          <w:szCs w:val="24"/>
        </w:rPr>
        <w:t xml:space="preserve"> Weltraum, Deutschland hat 2019 in der UN gegen die Rüstungsbegrenzung im Weltraum gestimmt. 2021 hat die Bundeswehr ein eigenes Weltraumkommando eingerichtet. Durch die Kriegsführung im Weltraum durch die Zerstörung von Satelliten besteht zusätzlich die Gefahr der Vermüllung des Orbits und damit dessen Unerreichbarkeit für viele nachfolgende Generationen.</w:t>
      </w:r>
    </w:p>
    <w:p>
      <w:pPr>
        <w:pStyle w:val="Normal"/>
        <w:bidi w:val="0"/>
        <w:jc w:val="left"/>
        <w:rPr>
          <w:rFonts w:ascii="Rubik" w:hAnsi="Rubik"/>
          <w:b w:val="false"/>
          <w:b w:val="false"/>
          <w:bCs w:val="false"/>
          <w:color w:val="000000"/>
          <w:sz w:val="24"/>
          <w:szCs w:val="24"/>
        </w:rPr>
      </w:pPr>
      <w:r>
        <w:rPr/>
      </w:r>
    </w:p>
    <w:p>
      <w:pPr>
        <w:pStyle w:val="Normal"/>
        <w:bidi w:val="0"/>
        <w:jc w:val="left"/>
        <w:rPr>
          <w:rFonts w:ascii="Rubik" w:hAnsi="Rubik"/>
          <w:b w:val="false"/>
          <w:b w:val="false"/>
          <w:bCs w:val="false"/>
          <w:color w:val="000000"/>
          <w:sz w:val="24"/>
          <w:szCs w:val="24"/>
        </w:rPr>
      </w:pPr>
      <w:r>
        <w:rPr>
          <w:rFonts w:ascii="Rubik" w:hAnsi="Rubik"/>
          <w:b w:val="false"/>
          <w:bCs w:val="false"/>
          <w:color w:val="000000"/>
          <w:sz w:val="24"/>
          <w:szCs w:val="24"/>
        </w:rPr>
        <w:t xml:space="preserve">Die Bundeswehr beteiligt sich aktuell an folgenden Militäreinsätzen </w:t>
      </w:r>
      <w:r>
        <w:rPr>
          <w:rFonts w:ascii="Rubik" w:hAnsi="Rubik"/>
          <w:b w:val="false"/>
          <w:bCs w:val="false"/>
          <w:color w:val="000000"/>
          <w:sz w:val="24"/>
          <w:szCs w:val="24"/>
        </w:rPr>
        <w:t>und übernimmt „Verantwortung“</w:t>
      </w:r>
      <w:r>
        <w:rPr>
          <w:rFonts w:ascii="Rubik" w:hAnsi="Rubik"/>
          <w:b w:val="false"/>
          <w:bCs w:val="false"/>
          <w:color w:val="000000"/>
          <w:sz w:val="24"/>
          <w:szCs w:val="24"/>
        </w:rPr>
        <w:t>:</w:t>
      </w:r>
    </w:p>
    <w:p>
      <w:pPr>
        <w:pStyle w:val="Normal"/>
        <w:bidi w:val="0"/>
        <w:jc w:val="left"/>
        <w:rPr>
          <w:rFonts w:ascii="Rubik" w:hAnsi="Rubik"/>
          <w:b w:val="false"/>
          <w:b w:val="false"/>
          <w:bCs w:val="false"/>
          <w:color w:val="000000"/>
          <w:sz w:val="24"/>
          <w:szCs w:val="24"/>
        </w:rPr>
      </w:pPr>
      <w:r>
        <w:rPr>
          <w:rFonts w:ascii="Rubik" w:hAnsi="Rubik"/>
          <w:b w:val="false"/>
          <w:bCs w:val="false"/>
          <w:color w:val="000000"/>
          <w:sz w:val="24"/>
          <w:szCs w:val="24"/>
        </w:rPr>
        <w:t>Kosovo, Jordanien, Syrien, Irak, Mittelmeer, Mali, Libanon, Horn von Afrika, Südsudan, Libyen, Westsahara, Jemen, Litauen und im südchineschen Meer</w:t>
      </w:r>
      <w:r>
        <w:rPr>
          <w:rStyle w:val="Funotenanker"/>
          <w:rFonts w:ascii="Rubik" w:hAnsi="Rubik"/>
          <w:b w:val="false"/>
          <w:bCs w:val="false"/>
          <w:color w:val="000000"/>
          <w:sz w:val="16"/>
          <w:szCs w:val="16"/>
        </w:rPr>
        <w:footnoteReference w:id="2"/>
      </w:r>
      <w:r>
        <w:rPr>
          <w:rFonts w:ascii="Rubik" w:hAnsi="Rubik"/>
          <w:b w:val="false"/>
          <w:bCs w:val="false"/>
          <w:color w:val="000000"/>
          <w:sz w:val="24"/>
          <w:szCs w:val="24"/>
        </w:rPr>
        <w:t xml:space="preserve">. </w:t>
        <w:br/>
        <w:t>Viele Einsätze erfolgen ohne UN-Mandat und stehen im Widerspruch zum Verteidigungs</w:t>
      </w:r>
      <w:r>
        <w:rPr>
          <w:rFonts w:ascii="Rubik" w:hAnsi="Rubik"/>
          <w:b w:val="false"/>
          <w:bCs w:val="false"/>
          <w:color w:val="000000"/>
          <w:sz w:val="24"/>
          <w:szCs w:val="24"/>
        </w:rPr>
        <w:t>ge</w:t>
      </w:r>
      <w:r>
        <w:rPr>
          <w:rFonts w:ascii="Rubik" w:hAnsi="Rubik"/>
          <w:b w:val="false"/>
          <w:bCs w:val="false"/>
          <w:color w:val="000000"/>
          <w:sz w:val="24"/>
          <w:szCs w:val="24"/>
        </w:rPr>
        <w:t xml:space="preserve">bot des Grundgesetzes. </w:t>
        <w:br/>
      </w:r>
      <w:r>
        <w:rPr>
          <w:rFonts w:ascii="Rubik" w:hAnsi="Rubik"/>
          <w:b w:val="false"/>
          <w:bCs w:val="false"/>
          <w:color w:val="000000"/>
          <w:sz w:val="24"/>
          <w:szCs w:val="24"/>
        </w:rPr>
        <w:t xml:space="preserve">Ein  20-jähriger erfolgloser Einsatz in Afghanistan mit Kosten von ca. 12 Mrd. Euro und 59 getöteten Bundeswehrsoldaten, viele weitere mit bleibenden physischen und psychischen </w:t>
      </w:r>
      <w:r>
        <w:rPr>
          <w:rFonts w:ascii="Rubik" w:hAnsi="Rubik"/>
          <w:b w:val="false"/>
          <w:bCs w:val="false"/>
          <w:color w:val="000000"/>
          <w:sz w:val="24"/>
          <w:szCs w:val="24"/>
        </w:rPr>
        <w:t>Schäden</w:t>
      </w:r>
      <w:r>
        <w:rPr>
          <w:rFonts w:ascii="Rubik" w:hAnsi="Rubik"/>
          <w:b w:val="false"/>
          <w:bCs w:val="false"/>
          <w:color w:val="000000"/>
          <w:sz w:val="24"/>
          <w:szCs w:val="24"/>
        </w:rPr>
        <w:t xml:space="preserve">, wurde 2021 </w:t>
      </w:r>
      <w:r>
        <w:rPr>
          <w:rFonts w:ascii="Rubik" w:hAnsi="Rubik"/>
          <w:b w:val="false"/>
          <w:bCs w:val="false"/>
          <w:color w:val="000000"/>
          <w:sz w:val="24"/>
          <w:szCs w:val="24"/>
        </w:rPr>
        <w:t xml:space="preserve">endlich </w:t>
      </w:r>
      <w:r>
        <w:rPr>
          <w:rFonts w:ascii="Rubik" w:hAnsi="Rubik"/>
          <w:b w:val="false"/>
          <w:bCs w:val="false"/>
          <w:color w:val="000000"/>
          <w:sz w:val="24"/>
          <w:szCs w:val="24"/>
        </w:rPr>
        <w:t xml:space="preserve">beendet. </w:t>
        <w:br/>
      </w:r>
      <w:r>
        <w:rPr>
          <w:rFonts w:ascii="Rubik" w:hAnsi="Rubik"/>
          <w:b w:val="false"/>
          <w:bCs w:val="false"/>
          <w:color w:val="000000"/>
          <w:sz w:val="24"/>
          <w:szCs w:val="24"/>
        </w:rPr>
        <w:t>Gewonnen haben ausschließlich wiederum die Rüstungskonzerne.</w:t>
      </w:r>
    </w:p>
    <w:p>
      <w:pPr>
        <w:pStyle w:val="Normal"/>
        <w:bidi w:val="0"/>
        <w:jc w:val="left"/>
        <w:rPr>
          <w:rFonts w:ascii="Rubik" w:hAnsi="Rubik"/>
          <w:b w:val="false"/>
          <w:b w:val="false"/>
          <w:bCs w:val="false"/>
          <w:color w:val="000000"/>
          <w:sz w:val="24"/>
          <w:szCs w:val="24"/>
        </w:rPr>
      </w:pPr>
      <w:r>
        <w:rPr>
          <w:rFonts w:ascii="Rubik" w:hAnsi="Rubik"/>
          <w:b w:val="false"/>
          <w:bCs w:val="false"/>
          <w:color w:val="000000"/>
          <w:sz w:val="24"/>
          <w:szCs w:val="24"/>
        </w:rPr>
      </w:r>
    </w:p>
    <w:p>
      <w:pPr>
        <w:pStyle w:val="Normal"/>
        <w:bidi w:val="0"/>
        <w:jc w:val="left"/>
        <w:rPr>
          <w:rFonts w:ascii="Rubik" w:hAnsi="Rubik"/>
          <w:b w:val="false"/>
          <w:b w:val="false"/>
          <w:bCs w:val="false"/>
          <w:color w:val="000000"/>
          <w:sz w:val="24"/>
          <w:szCs w:val="24"/>
        </w:rPr>
      </w:pPr>
      <w:r>
        <w:rPr>
          <w:rFonts w:ascii="Rubik" w:hAnsi="Rubik"/>
          <w:b w:val="false"/>
          <w:bCs w:val="false"/>
          <w:color w:val="000000"/>
          <w:sz w:val="24"/>
          <w:szCs w:val="24"/>
        </w:rPr>
        <w:t>Die weltweiten Rüstungsausgaben beliefen sich 2020 nach SIPRI auf fast 2 Billionen Dollar</w:t>
      </w:r>
      <w:r>
        <w:rPr>
          <w:rStyle w:val="Funotenanker"/>
          <w:rFonts w:ascii="Rubik" w:hAnsi="Rubik"/>
          <w:b w:val="false"/>
          <w:bCs w:val="false"/>
          <w:color w:val="000000"/>
          <w:sz w:val="24"/>
          <w:szCs w:val="24"/>
        </w:rPr>
        <w:footnoteReference w:id="3"/>
      </w:r>
      <w:r>
        <w:rPr>
          <w:rFonts w:ascii="Rubik" w:hAnsi="Rubik"/>
          <w:b w:val="false"/>
          <w:bCs w:val="false"/>
          <w:color w:val="000000"/>
          <w:sz w:val="24"/>
          <w:szCs w:val="24"/>
        </w:rPr>
        <w:t>. Darunter die USA 778 Milliarden, China 252, Russland 62, Deutschland 50 Milliarden. Auf die NATO-Staaten entfallen ca. 2/3 der weltweiten Ausgaben. In Umsetzung des NATO-Zieles 2% BIP für Rüstung und Militär auszugeben, wird der Anteil voraussichtlich weiter steigen, wird Deutschland über 70 Mrd. für Rüstung ausgeben. 2005 waren es dagegen noch 33 Mrd. 2020 bereits 53 Mrd</w:t>
      </w:r>
      <w:r>
        <w:rPr>
          <w:rStyle w:val="Funotenanker"/>
          <w:rFonts w:ascii="Rubik" w:hAnsi="Rubik"/>
          <w:b w:val="false"/>
          <w:bCs w:val="false"/>
          <w:color w:val="000000"/>
          <w:sz w:val="24"/>
          <w:szCs w:val="24"/>
        </w:rPr>
        <w:footnoteReference w:id="4"/>
      </w:r>
      <w:r>
        <w:rPr>
          <w:rFonts w:ascii="Rubik" w:hAnsi="Rubik"/>
          <w:b w:val="false"/>
          <w:bCs w:val="false"/>
          <w:color w:val="000000"/>
          <w:sz w:val="24"/>
          <w:szCs w:val="24"/>
        </w:rPr>
        <w:t xml:space="preserve">. </w:t>
      </w:r>
    </w:p>
    <w:p>
      <w:pPr>
        <w:pStyle w:val="Normal"/>
        <w:bidi w:val="0"/>
        <w:jc w:val="left"/>
        <w:rPr>
          <w:b w:val="false"/>
          <w:b w:val="false"/>
          <w:bCs w:val="false"/>
          <w:color w:val="000000"/>
        </w:rPr>
      </w:pPr>
      <w:r>
        <w:rPr>
          <w:rFonts w:ascii="Rubik" w:hAnsi="Rubik"/>
          <w:b w:val="false"/>
          <w:bCs w:val="false"/>
          <w:color w:val="000000"/>
          <w:sz w:val="24"/>
          <w:szCs w:val="24"/>
        </w:rPr>
        <w:t xml:space="preserve">Deutschland hatte im Corona-Jahr 2020 die weltweit höchste Steigerungsrate und belegt zudem beim Rüstungsexport weltweit </w:t>
      </w:r>
      <w:r>
        <w:rPr>
          <w:rFonts w:ascii="Rubik" w:hAnsi="Rubik"/>
          <w:b w:val="false"/>
          <w:bCs w:val="false"/>
          <w:color w:val="000000"/>
          <w:sz w:val="24"/>
          <w:szCs w:val="24"/>
        </w:rPr>
        <w:t xml:space="preserve">jetzt </w:t>
      </w:r>
      <w:r>
        <w:rPr>
          <w:rFonts w:ascii="Rubik" w:hAnsi="Rubik"/>
          <w:b w:val="false"/>
          <w:bCs w:val="false"/>
          <w:color w:val="000000"/>
          <w:sz w:val="24"/>
          <w:szCs w:val="24"/>
        </w:rPr>
        <w:t>den 4. Platz.</w:t>
      </w:r>
    </w:p>
    <w:p>
      <w:pPr>
        <w:pStyle w:val="Normal"/>
        <w:bidi w:val="0"/>
        <w:jc w:val="left"/>
        <w:rPr>
          <w:b w:val="false"/>
          <w:b w:val="false"/>
          <w:bCs w:val="false"/>
          <w:color w:val="000000"/>
        </w:rPr>
      </w:pPr>
      <w:r>
        <w:rPr>
          <w:rFonts w:ascii="Rubik" w:hAnsi="Rubik"/>
          <w:b w:val="false"/>
          <w:bCs w:val="false"/>
          <w:color w:val="000000"/>
          <w:sz w:val="24"/>
          <w:szCs w:val="24"/>
        </w:rPr>
        <w:t xml:space="preserve">Die NATO-Ausgaben und </w:t>
      </w:r>
      <w:r>
        <w:rPr>
          <w:rFonts w:ascii="Rubik" w:hAnsi="Rubik"/>
          <w:b w:val="false"/>
          <w:bCs w:val="false"/>
          <w:color w:val="000000"/>
          <w:sz w:val="24"/>
          <w:szCs w:val="24"/>
        </w:rPr>
        <w:t xml:space="preserve">deren </w:t>
      </w:r>
      <w:r>
        <w:rPr>
          <w:rFonts w:ascii="Rubik" w:hAnsi="Rubik"/>
          <w:b w:val="false"/>
          <w:bCs w:val="false"/>
          <w:color w:val="000000"/>
          <w:sz w:val="24"/>
          <w:szCs w:val="24"/>
        </w:rPr>
        <w:t xml:space="preserve">Steigerung werden begründet mit </w:t>
      </w:r>
      <w:r>
        <w:rPr>
          <w:rFonts w:eastAsia="SimSun" w:cs="Arial" w:ascii="Rubik" w:hAnsi="Rubik"/>
          <w:b w:val="false"/>
          <w:bCs w:val="false"/>
          <w:color w:val="000000"/>
          <w:kern w:val="2"/>
          <w:sz w:val="24"/>
          <w:szCs w:val="24"/>
          <w:lang w:val="de-DE" w:eastAsia="zh-CN" w:bidi="hi-IN"/>
        </w:rPr>
        <w:t>der</w:t>
      </w:r>
      <w:r>
        <w:rPr>
          <w:rFonts w:ascii="Rubik" w:hAnsi="Rubik"/>
          <w:b w:val="false"/>
          <w:bCs w:val="false"/>
          <w:color w:val="000000"/>
          <w:sz w:val="24"/>
          <w:szCs w:val="24"/>
        </w:rPr>
        <w:t xml:space="preserve"> Aggressivität Russlands und neuerdings Chinas. </w:t>
        <w:br/>
        <w:t xml:space="preserve">Ein Blick auf die Zahlen und ihrer Entwicklung </w:t>
      </w:r>
      <w:r>
        <w:rPr>
          <w:rFonts w:ascii="Rubik" w:hAnsi="Rubik"/>
          <w:b w:val="false"/>
          <w:bCs w:val="false"/>
          <w:color w:val="000000"/>
          <w:sz w:val="24"/>
          <w:szCs w:val="24"/>
        </w:rPr>
        <w:t>entlarvt diese</w:t>
      </w:r>
      <w:r>
        <w:rPr>
          <w:rFonts w:ascii="Rubik" w:hAnsi="Rubik"/>
          <w:b w:val="false"/>
          <w:bCs w:val="false"/>
          <w:color w:val="000000"/>
          <w:sz w:val="24"/>
          <w:szCs w:val="24"/>
        </w:rPr>
        <w:t xml:space="preserve"> Behauptung </w:t>
      </w:r>
      <w:r>
        <w:rPr>
          <w:rFonts w:ascii="Rubik" w:hAnsi="Rubik"/>
          <w:b w:val="false"/>
          <w:bCs w:val="false"/>
          <w:color w:val="000000"/>
          <w:sz w:val="24"/>
          <w:szCs w:val="24"/>
        </w:rPr>
        <w:t>als</w:t>
      </w:r>
      <w:r>
        <w:rPr>
          <w:rFonts w:ascii="Rubik" w:hAnsi="Rubik"/>
          <w:b w:val="false"/>
          <w:bCs w:val="false"/>
          <w:color w:val="000000"/>
          <w:sz w:val="24"/>
          <w:szCs w:val="24"/>
        </w:rPr>
        <w:t xml:space="preserve"> Lüge.</w:t>
        <w:br/>
        <w:t xml:space="preserve"> </w:t>
      </w:r>
      <w:r>
        <w:rPr>
          <w:rFonts w:ascii="Rubik" w:hAnsi="Rubik"/>
          <w:b w:val="false"/>
          <w:bCs w:val="false"/>
          <w:color w:val="000000"/>
          <w:sz w:val="24"/>
          <w:szCs w:val="24"/>
        </w:rPr>
        <w:br/>
      </w:r>
      <w:r>
        <w:rPr>
          <w:rFonts w:ascii="Rubik" w:hAnsi="Rubik"/>
          <w:b w:val="false"/>
          <w:bCs w:val="false"/>
          <w:color w:val="000000"/>
          <w:sz w:val="24"/>
          <w:szCs w:val="24"/>
        </w:rPr>
        <w:t>B</w:t>
      </w:r>
      <w:r>
        <w:rPr>
          <w:rFonts w:ascii="Rubik" w:hAnsi="Rubik"/>
          <w:b w:val="false"/>
          <w:bCs w:val="false"/>
          <w:color w:val="000000"/>
          <w:sz w:val="24"/>
          <w:szCs w:val="24"/>
        </w:rPr>
        <w:t xml:space="preserve">ereits jährlich 40 Mrd. Dollar </w:t>
      </w:r>
      <w:r>
        <w:rPr>
          <w:rFonts w:ascii="Rubik" w:hAnsi="Rubik"/>
          <w:b w:val="false"/>
          <w:bCs w:val="false"/>
          <w:color w:val="000000"/>
          <w:sz w:val="24"/>
          <w:szCs w:val="24"/>
        </w:rPr>
        <w:t xml:space="preserve">könnten </w:t>
      </w:r>
      <w:r>
        <w:rPr>
          <w:rFonts w:ascii="Rubik" w:hAnsi="Rubik"/>
          <w:b w:val="false"/>
          <w:bCs w:val="false"/>
          <w:color w:val="000000"/>
          <w:sz w:val="24"/>
          <w:szCs w:val="24"/>
        </w:rPr>
        <w:t xml:space="preserve">allen </w:t>
      </w:r>
      <w:r>
        <w:rPr>
          <w:rFonts w:ascii="Rubik" w:hAnsi="Rubik"/>
          <w:b w:val="false"/>
          <w:bCs w:val="false"/>
          <w:color w:val="000000"/>
          <w:sz w:val="24"/>
          <w:szCs w:val="24"/>
        </w:rPr>
        <w:t xml:space="preserve">Hunger </w:t>
      </w:r>
      <w:r>
        <w:rPr>
          <w:rFonts w:ascii="Rubik" w:hAnsi="Rubik"/>
          <w:b w:val="false"/>
          <w:bCs w:val="false"/>
          <w:color w:val="000000"/>
          <w:sz w:val="24"/>
          <w:szCs w:val="24"/>
        </w:rPr>
        <w:t xml:space="preserve">und </w:t>
      </w:r>
      <w:r>
        <w:rPr>
          <w:rFonts w:ascii="Rubik" w:hAnsi="Rubik"/>
          <w:b w:val="false"/>
          <w:bCs w:val="false"/>
          <w:color w:val="000000"/>
          <w:sz w:val="24"/>
          <w:szCs w:val="24"/>
        </w:rPr>
        <w:t>das Sterben von Millionen Kinder</w:t>
      </w:r>
      <w:r>
        <w:rPr>
          <w:rFonts w:ascii="Rubik" w:hAnsi="Rubik"/>
          <w:b w:val="false"/>
          <w:bCs w:val="false"/>
          <w:color w:val="000000"/>
          <w:sz w:val="24"/>
          <w:szCs w:val="24"/>
        </w:rPr>
        <w:t>n</w:t>
      </w:r>
      <w:r>
        <w:rPr>
          <w:rFonts w:ascii="Rubik" w:hAnsi="Rubik"/>
          <w:b w:val="false"/>
          <w:bCs w:val="false"/>
          <w:color w:val="000000"/>
          <w:sz w:val="24"/>
          <w:szCs w:val="24"/>
        </w:rPr>
        <w:t xml:space="preserve"> auf unserem Globus verhindern, ganz zu Schweigen von den verschwendeten Ressourcen, die für Klima- und Umweltschutz, Bildung, Gesundheit  und Forschung zum Wohle aller Menschen zum Einsatz komme</w:t>
      </w:r>
      <w:r>
        <w:rPr>
          <w:rFonts w:ascii="Rubik" w:hAnsi="Rubik"/>
          <w:b w:val="false"/>
          <w:bCs w:val="false"/>
          <w:color w:val="000000"/>
          <w:sz w:val="24"/>
          <w:szCs w:val="24"/>
        </w:rPr>
        <w:t>n</w:t>
      </w:r>
      <w:r>
        <w:rPr>
          <w:rFonts w:ascii="Rubik" w:hAnsi="Rubik"/>
          <w:b w:val="false"/>
          <w:bCs w:val="false"/>
          <w:color w:val="000000"/>
          <w:sz w:val="24"/>
          <w:szCs w:val="24"/>
        </w:rPr>
        <w:t xml:space="preserve"> könnten.</w:t>
      </w:r>
    </w:p>
    <w:p>
      <w:pPr>
        <w:pStyle w:val="Normal"/>
        <w:bidi w:val="0"/>
        <w:jc w:val="left"/>
        <w:rPr>
          <w:rFonts w:ascii="Rubik" w:hAnsi="Rubik"/>
          <w:sz w:val="24"/>
          <w:szCs w:val="24"/>
        </w:rPr>
      </w:pPr>
      <w:r>
        <w:rPr>
          <w:rFonts w:ascii="Rubik" w:hAnsi="Rubik"/>
          <w:sz w:val="24"/>
          <w:szCs w:val="24"/>
        </w:rPr>
      </w:r>
    </w:p>
    <w:p>
      <w:pPr>
        <w:pStyle w:val="Normal"/>
        <w:bidi w:val="0"/>
        <w:jc w:val="left"/>
        <w:rPr/>
      </w:pPr>
      <w:r>
        <w:rPr>
          <w:rFonts w:ascii="Rubik" w:hAnsi="Rubik"/>
          <w:b w:val="false"/>
          <w:bCs w:val="false"/>
          <w:color w:val="000000"/>
          <w:sz w:val="24"/>
          <w:szCs w:val="24"/>
        </w:rPr>
        <w:t xml:space="preserve">Die </w:t>
      </w:r>
      <w:r>
        <w:rPr>
          <w:rFonts w:ascii="Rubik" w:hAnsi="Rubik"/>
          <w:b w:val="false"/>
          <w:bCs w:val="false"/>
          <w:color w:val="000000"/>
          <w:sz w:val="24"/>
          <w:szCs w:val="24"/>
        </w:rPr>
        <w:t>r</w:t>
      </w:r>
      <w:r>
        <w:rPr>
          <w:rFonts w:ascii="Rubik" w:hAnsi="Rubik"/>
          <w:b w:val="false"/>
          <w:bCs w:val="false"/>
          <w:color w:val="000000"/>
          <w:sz w:val="24"/>
          <w:szCs w:val="24"/>
        </w:rPr>
        <w:t>ussische Militärdoktrin sieht wegen konventioneller Unterlegenheit durch ex</w:t>
      </w:r>
      <w:r>
        <w:rPr>
          <w:rFonts w:ascii="Rubik" w:hAnsi="Rubik"/>
          <w:b w:val="false"/>
          <w:bCs w:val="false"/>
          <w:color w:val="000000"/>
          <w:sz w:val="24"/>
          <w:szCs w:val="24"/>
        </w:rPr>
        <w:softHyphen/>
      </w:r>
      <w:r>
        <w:rPr>
          <w:rFonts w:ascii="Rubik" w:hAnsi="Rubik"/>
          <w:b w:val="false"/>
          <w:bCs w:val="false"/>
          <w:color w:val="000000"/>
          <w:sz w:val="24"/>
          <w:szCs w:val="24"/>
        </w:rPr>
        <w:t>orbitante NATO-Rüstungsausgaben asymmetrische Antworten auf Angriffe vor. Damit besteht die Gefahr einer schnellen Eskalation bei Nadelstichen ohne Reaktionszeit.</w:t>
      </w:r>
    </w:p>
    <w:p>
      <w:pPr>
        <w:pStyle w:val="Normal"/>
        <w:bidi w:val="0"/>
        <w:jc w:val="left"/>
        <w:rPr/>
      </w:pPr>
      <w:r>
        <w:rPr>
          <w:rFonts w:ascii="Rubik" w:hAnsi="Rubik"/>
          <w:b w:val="false"/>
          <w:bCs w:val="false"/>
          <w:color w:val="000000"/>
        </w:rPr>
        <w:br/>
        <w:t>Wir erleben eine verantwortungslose mediale Kriegsvorbereitung durch einseitige und unvollständige Berichterstattung mit Russland- und Chinabashing und offenen Aufruf zu militärischem Handeln in unseren großen deutschen Medien.</w:t>
        <w:br/>
        <w:t>Transatlantische Konfrontationspolitik statt Verständigungspolitik wurde zu</w:t>
      </w:r>
      <w:r>
        <w:rPr>
          <w:rFonts w:ascii="Rubik" w:hAnsi="Rubik"/>
          <w:b w:val="false"/>
          <w:bCs w:val="false"/>
          <w:color w:val="000000"/>
        </w:rPr>
        <w:t>r</w:t>
      </w:r>
      <w:r>
        <w:rPr>
          <w:rFonts w:ascii="Rubik" w:hAnsi="Rubik"/>
          <w:b w:val="false"/>
          <w:bCs w:val="false"/>
          <w:color w:val="000000"/>
        </w:rPr>
        <w:t xml:space="preserve"> dominierenden gedruckten und gesendeten öffentlichen Meinung.</w:t>
        <w:br/>
        <w:br/>
        <w:t xml:space="preserve">Notwendig ist eine Umkehr zum Frieden, Abrüstung, Diplomatie unter gegenseitiger Interessenabwägung statt der Politik der Stärke, der  militärischen Eskalation, des Säbelrasselns und wirtschaftlicher Sanktionen. </w:t>
      </w:r>
    </w:p>
    <w:p>
      <w:pPr>
        <w:pStyle w:val="Normal"/>
        <w:bidi w:val="0"/>
        <w:jc w:val="left"/>
        <w:rPr>
          <w:rFonts w:ascii="Rubik" w:hAnsi="Rubik"/>
          <w:b w:val="false"/>
          <w:b w:val="false"/>
          <w:bCs w:val="false"/>
          <w:color w:val="000000"/>
        </w:rPr>
      </w:pPr>
      <w:r>
        <w:rPr>
          <w:rFonts w:ascii="Rubik" w:hAnsi="Rubik"/>
          <w:b w:val="false"/>
          <w:bCs w:val="false"/>
          <w:color w:val="000000"/>
        </w:rPr>
      </w:r>
    </w:p>
    <w:p>
      <w:pPr>
        <w:pStyle w:val="Normal"/>
        <w:bidi w:val="0"/>
        <w:jc w:val="left"/>
        <w:rPr/>
      </w:pPr>
      <w:r>
        <w:rPr>
          <w:rFonts w:ascii="Rubik" w:hAnsi="Rubik"/>
          <w:b w:val="false"/>
          <w:bCs w:val="false"/>
          <w:color w:val="000000"/>
        </w:rPr>
        <w:t xml:space="preserve">Deshalb erstellten wir nachfolgenden Forderungskatalog der Sammlungsbewegung Aufstehen für eine Umkehr zu Frieden, </w:t>
      </w:r>
      <w:r>
        <w:rPr>
          <w:rFonts w:ascii="Rubik" w:hAnsi="Rubik"/>
          <w:b w:val="false"/>
          <w:bCs w:val="false"/>
          <w:color w:val="000000"/>
        </w:rPr>
        <w:t>Abrüstung und Verständigung</w:t>
      </w:r>
      <w:r>
        <w:rPr>
          <w:rFonts w:ascii="Rubik" w:hAnsi="Rubik"/>
          <w:b w:val="false"/>
          <w:bCs w:val="false"/>
          <w:color w:val="000000"/>
        </w:rPr>
        <w:t>.</w:t>
      </w:r>
    </w:p>
    <w:sectPr>
      <w:headerReference w:type="default" r:id="rId2"/>
      <w:footerReference w:type="default" r:id="rId3"/>
      <w:footnotePr>
        <w:numFmt w:val="decimal"/>
      </w:footnotePr>
      <w:type w:val="nextPage"/>
      <w:pgSz w:w="11906" w:h="16838"/>
      <w:pgMar w:left="1134" w:right="1134" w:header="1134" w:top="1985" w:footer="1134" w:bottom="1701"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OpenSymbol">
    <w:altName w:val="Arial Unicode MS"/>
    <w:charset w:val="00"/>
    <w:family w:val="roman"/>
    <w:pitch w:val="variable"/>
    <w:embedRegular r:id="rId14" w:fontKey="{0E014A78-CABC-4EF0-12AC-5CD89AEFDE0E}"/>
  </w:font>
  <w:font w:name="Arial">
    <w:charset w:val="00"/>
    <w:family w:val="roman"/>
    <w:pitch w:val="variable"/>
  </w:font>
  <w:font w:name="Rubik">
    <w:charset w:val="00"/>
    <w:family w:val="roman"/>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Rubik Medium">
    <w:charset w:val="00"/>
    <w:family w:val="roman"/>
    <w:pitch w:val="variable"/>
  </w:font>
  <w:font w:name="Rubik Light">
    <w:charset w:val="00"/>
    <w:family w:val="roman"/>
    <w:pitch w:val="variable"/>
  </w:font>
  <w:font w:name="OpenSymbol">
    <w:altName w:val="Arial Unicode MS"/>
    <w:charset w:val="01"/>
    <w:family w:val="auto"/>
    <w:pitch w:val="variable"/>
    <w:embedRegular r:id="rId19" w:fontKey="{13014A78-CABC-4EF0-12AC-5CD89AEFDE13}"/>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bidi w:val="0"/>
      <w:jc w:val="left"/>
      <w:rPr>
        <w:rFonts w:ascii="Rubik Light" w:hAnsi="Rubik Light"/>
      </w:rPr>
    </w:pPr>
    <w:r>
      <w:rPr>
        <w:rFonts w:ascii="Rubik Light" w:hAnsi="Rubik Light"/>
      </w:rPr>
      <w:t>20.07.2021</w:t>
      <w:tab/>
      <w:t>Seite </w:t>
    </w:r>
    <w:r>
      <w:rPr>
        <w:rFonts w:ascii="Rubik Light" w:hAnsi="Rubik Light"/>
      </w:rPr>
      <w:fldChar w:fldCharType="begin"/>
    </w:r>
    <w:r>
      <w:rPr>
        <w:rFonts w:ascii="Rubik Light" w:hAnsi="Rubik Light"/>
      </w:rPr>
      <w:instrText> PAGE </w:instrText>
    </w:r>
    <w:r>
      <w:rPr>
        <w:rFonts w:ascii="Rubik Light" w:hAnsi="Rubik Light"/>
      </w:rPr>
      <w:fldChar w:fldCharType="separate"/>
    </w:r>
    <w:r>
      <w:rPr>
        <w:rFonts w:ascii="Rubik Light" w:hAnsi="Rubik Light"/>
      </w:rPr>
      <w:t>2</w:t>
    </w:r>
    <w:r>
      <w:rPr>
        <w:rFonts w:ascii="Rubik Light" w:hAnsi="Rubik Light"/>
      </w:rPr>
      <w:fldChar w:fldCharType="end"/>
    </w:r>
    <w:r>
      <w:rPr>
        <w:rFonts w:ascii="Rubik Light" w:hAnsi="Rubik Light"/>
      </w:rPr>
      <w:tab/>
    </w:r>
    <w:hyperlink r:id="rId1">
      <w:r>
        <w:rPr>
          <w:rStyle w:val="Internetverknpfung"/>
          <w:rFonts w:ascii="Rubik Light" w:hAnsi="Rubik Light"/>
        </w:rPr>
        <w:t>Diskussionsforum der AG</w:t>
      </w:r>
    </w:hyperlink>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p>
  </w:footnote>
  <w:footnote w:id="1" w:type="continuationSeparator">
    <w:p>
      <w:pPr>
        <w:rPr>
          <w:sz w:val="12"/>
        </w:rPr>
      </w:pPr>
      <w:r/>
    </w:p>
  </w:footnote>
  <w:footnote w:id="2">
    <w:p>
      <w:pPr>
        <w:pStyle w:val="Funote"/>
        <w:bidi w:val="0"/>
        <w:jc w:val="left"/>
        <w:rPr/>
      </w:pPr>
      <w:r>
        <w:rPr>
          <w:rStyle w:val="Funotenzeichen"/>
        </w:rPr>
        <w:footnoteRef/>
      </w:r>
      <w:r>
        <w:rPr/>
        <w:tab/>
        <w:t>Bundeswehr https://www.bundeswehr.de/de/einsaetze-bundeswehr</w:t>
      </w:r>
    </w:p>
  </w:footnote>
  <w:footnote w:id="3">
    <w:p>
      <w:pPr>
        <w:pStyle w:val="Funote"/>
        <w:bidi w:val="0"/>
        <w:jc w:val="left"/>
        <w:rPr/>
      </w:pPr>
      <w:r>
        <w:rPr>
          <w:rStyle w:val="Funotenzeichen"/>
        </w:rPr>
        <w:footnoteRef/>
      </w:r>
      <w:r>
        <w:rPr/>
        <w:tab/>
        <w:t>SIPRI https://sipri.org/</w:t>
      </w:r>
    </w:p>
  </w:footnote>
  <w:footnote w:id="4">
    <w:p>
      <w:pPr>
        <w:pStyle w:val="Funote"/>
        <w:bidi w:val="0"/>
        <w:jc w:val="left"/>
        <w:rPr/>
      </w:pPr>
      <w:r>
        <w:rPr>
          <w:rStyle w:val="Funotenzeichen"/>
        </w:rPr>
        <w:footnoteRef/>
      </w:r>
      <w:r>
        <w:rPr/>
        <w:tab/>
        <w:t>Statista https://de.statista.com</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suppressLineNumbers/>
      <w:bidi w:val="0"/>
      <w:jc w:val="left"/>
      <w:rPr/>
    </w:pPr>
    <w:r>
      <w:drawing>
        <wp:anchor behindDoc="1" distT="0" distB="0" distL="0" distR="0" simplePos="0" locked="0" layoutInCell="0" allowOverlap="1" relativeHeight="3">
          <wp:simplePos x="0" y="0"/>
          <wp:positionH relativeFrom="column">
            <wp:posOffset>33020</wp:posOffset>
          </wp:positionH>
          <wp:positionV relativeFrom="paragraph">
            <wp:posOffset>-6985</wp:posOffset>
          </wp:positionV>
          <wp:extent cx="1289050" cy="388620"/>
          <wp:effectExtent l="0" t="0" r="0" b="0"/>
          <wp:wrapTopAndBottom/>
          <wp:docPr id="1" name="Grafi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1" descr=""/>
                  <pic:cNvPicPr>
                    <a:picLocks noChangeAspect="1" noChangeArrowheads="1"/>
                  </pic:cNvPicPr>
                </pic:nvPicPr>
                <pic:blipFill>
                  <a:blip r:embed="rId1"/>
                  <a:stretch>
                    <a:fillRect/>
                  </a:stretch>
                </pic:blipFill>
                <pic:spPr bwMode="auto">
                  <a:xfrm>
                    <a:off x="0" y="0"/>
                    <a:ext cx="1289050" cy="388620"/>
                  </a:xfrm>
                  <a:prstGeom prst="rect">
                    <a:avLst/>
                  </a:prstGeom>
                </pic:spPr>
              </pic:pic>
            </a:graphicData>
          </a:graphic>
        </wp:anchor>
      </w:drawing>
    </w:r>
    <w:r>
      <w:rPr/>
      <w:tab/>
    </w:r>
    <w:r>
      <w:rPr>
        <w:rFonts w:ascii="Rubik Medium" w:hAnsi="Rubik Medium"/>
      </w:rPr>
      <w:t>Aufstehen-Basis</w:t>
    </w:r>
  </w:p>
  <w:p>
    <w:pPr>
      <w:pStyle w:val="Kopfzeile"/>
      <w:suppressLineNumbers/>
      <w:bidi w:val="0"/>
      <w:jc w:val="left"/>
      <w:rPr/>
    </w:pPr>
    <w:r>
      <w:rPr>
        <w:rFonts w:ascii="Rubik Medium" w:hAnsi="Rubik Medium"/>
      </w:rPr>
      <w:tab/>
      <w:t xml:space="preserve">   AG „Frieden und Abrüstun</w:t>
    </w:r>
    <w:r>
      <w:rPr>
        <w:rFonts w:ascii="Rubik Medium" w:hAnsi="Rubik Medium"/>
      </w:rPr>
      <w:t>g</w:t>
    </w:r>
    <w:r>
      <w:rPr>
        <w:rFonts w:ascii="Rubik Medium" w:hAnsi="Rubik Medium"/>
      </w:rPr>
      <w:t xml:space="preserve">“ - </w:t>
    </w:r>
    <w:r>
      <w:rPr>
        <w:rFonts w:ascii="Rubik Medium" w:hAnsi="Rubik Medium"/>
      </w:rPr>
      <w:t>Forderungskatalog</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Berschrift1"/>
      <w:numFmt w:val="none"/>
      <w:suff w:val="nothing"/>
      <w:lvlText w:val=""/>
      <w:lvlJc w:val="left"/>
      <w:pPr>
        <w:tabs>
          <w:tab w:val="num" w:pos="0"/>
        </w:tabs>
        <w:ind w:left="432" w:hanging="432"/>
      </w:pPr>
    </w:lvl>
    <w:lvl w:ilvl="1">
      <w:start w:val="1"/>
      <w:numFmt w:val="none"/>
      <w:suff w:val="nothing"/>
      <w:lvlText w:val=""/>
      <w:lvlJc w:val="left"/>
      <w:pPr>
        <w:tabs>
          <w:tab w:val="num" w:pos="0"/>
        </w:tabs>
        <w:ind w:left="0" w:hanging="0"/>
      </w:pPr>
    </w:lvl>
    <w:lvl w:ilvl="2">
      <w:start w:val="1"/>
      <w:pStyle w:val="Berschrift3"/>
      <w:numFmt w:val="none"/>
      <w:suff w:val="nothing"/>
      <w:lvlText w:val=""/>
      <w:lvlJc w:val="left"/>
      <w:pPr>
        <w:tabs>
          <w:tab w:val="num" w:pos="0"/>
        </w:tabs>
        <w:ind w:left="720" w:hanging="72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2"/>
  </w:num>
</w:numbering>
</file>

<file path=word/settings.xml><?xml version="1.0" encoding="utf-8"?>
<w:settings xmlns:w="http://schemas.openxmlformats.org/wordprocessingml/2006/main">
  <w:zoom w:percent="140"/>
  <w:embedTrueTypeFonts/>
  <w:defaultTabStop w:val="709"/>
  <w:autoHyphenation w:val="true"/>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Arial"/>
        <w:kern w:val="2"/>
        <w:sz w:val="24"/>
        <w:szCs w:val="24"/>
        <w:lang w:val="de-DE" w:eastAsia="zh-CN" w:bidi="hi-IN"/>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left"/>
    </w:pPr>
    <w:rPr>
      <w:rFonts w:ascii="Times New Roman" w:hAnsi="Times New Roman" w:eastAsia="SimSun" w:cs="Arial"/>
      <w:color w:val="auto"/>
      <w:kern w:val="2"/>
      <w:sz w:val="24"/>
      <w:szCs w:val="24"/>
      <w:lang w:val="de-DE" w:eastAsia="zh-CN" w:bidi="hi-IN"/>
    </w:rPr>
  </w:style>
  <w:style w:type="paragraph" w:styleId="Berschrift1">
    <w:name w:val="Heading 1"/>
    <w:basedOn w:val="Berschrift"/>
    <w:next w:val="Textkrper"/>
    <w:qFormat/>
    <w:pPr>
      <w:numPr>
        <w:ilvl w:val="0"/>
        <w:numId w:val="1"/>
      </w:numPr>
      <w:spacing w:before="240" w:after="120"/>
      <w:outlineLvl w:val="0"/>
    </w:pPr>
    <w:rPr>
      <w:b/>
      <w:bCs/>
      <w:sz w:val="36"/>
      <w:szCs w:val="36"/>
    </w:rPr>
  </w:style>
  <w:style w:type="paragraph" w:styleId="Berschrift3">
    <w:name w:val="Heading 3"/>
    <w:basedOn w:val="Berschrift"/>
    <w:next w:val="Textkrper"/>
    <w:qFormat/>
    <w:pPr>
      <w:numPr>
        <w:ilvl w:val="2"/>
        <w:numId w:val="1"/>
      </w:numPr>
      <w:spacing w:before="140" w:after="120"/>
      <w:outlineLvl w:val="2"/>
    </w:pPr>
    <w:rPr>
      <w:b/>
      <w:bCs/>
      <w:sz w:val="28"/>
      <w:szCs w:val="28"/>
    </w:rPr>
  </w:style>
  <w:style w:type="character" w:styleId="Internetverknpfung">
    <w:name w:val="Internetverknüpfung"/>
    <w:rPr>
      <w:color w:val="000080"/>
      <w:u w:val="single"/>
      <w:lang w:val="zxx" w:eastAsia="zxx" w:bidi="zxx"/>
    </w:rPr>
  </w:style>
  <w:style w:type="character" w:styleId="Aufzhlungszeichen">
    <w:name w:val="Aufzählungszeichen"/>
    <w:qFormat/>
    <w:rPr>
      <w:rFonts w:ascii="OpenSymbol" w:hAnsi="OpenSymbol" w:eastAsia="OpenSymbol" w:cs="OpenSymbol"/>
    </w:rPr>
  </w:style>
  <w:style w:type="character" w:styleId="Funotenzeichen">
    <w:name w:val="Fußnotenzeichen"/>
    <w:qFormat/>
    <w:rPr/>
  </w:style>
  <w:style w:type="character" w:styleId="Funotenanker">
    <w:name w:val="Fußnotenanker"/>
    <w:rPr>
      <w:vertAlign w:val="superscript"/>
    </w:rPr>
  </w:style>
  <w:style w:type="character" w:styleId="Endnotenanker">
    <w:name w:val="Endnotenanker"/>
    <w:rPr>
      <w:vertAlign w:val="superscript"/>
    </w:rPr>
  </w:style>
  <w:style w:type="character" w:styleId="Endnotenzeichen">
    <w:name w:val="Endnotenzeichen"/>
    <w:qFormat/>
    <w:rPr/>
  </w:style>
  <w:style w:type="paragraph" w:styleId="Berschrift">
    <w:name w:val="Überschrift"/>
    <w:basedOn w:val="Normal"/>
    <w:next w:val="Textkrper"/>
    <w:qFormat/>
    <w:pPr>
      <w:keepNext w:val="true"/>
      <w:spacing w:before="240" w:after="120"/>
    </w:pPr>
    <w:rPr>
      <w:rFonts w:ascii="Arial" w:hAnsi="Arial" w:eastAsia="Microsoft YaHei" w:cs="Arial"/>
      <w:sz w:val="28"/>
      <w:szCs w:val="28"/>
    </w:rPr>
  </w:style>
  <w:style w:type="paragraph" w:styleId="Textkrper">
    <w:name w:val="Body Text"/>
    <w:basedOn w:val="Normal"/>
    <w:pPr>
      <w:spacing w:before="0" w:after="120"/>
    </w:pPr>
    <w:rPr/>
  </w:style>
  <w:style w:type="paragraph" w:styleId="Aufzhlung">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KopfundFuzeile">
    <w:name w:val="Kopf- und Fußzeile"/>
    <w:basedOn w:val="Normal"/>
    <w:qFormat/>
    <w:pPr>
      <w:suppressLineNumbers/>
      <w:tabs>
        <w:tab w:val="clear" w:pos="709"/>
        <w:tab w:val="center" w:pos="4819" w:leader="none"/>
        <w:tab w:val="right" w:pos="9638" w:leader="none"/>
      </w:tabs>
    </w:pPr>
    <w:rPr/>
  </w:style>
  <w:style w:type="paragraph" w:styleId="Kopfzeile">
    <w:name w:val="Header"/>
    <w:basedOn w:val="Normal"/>
    <w:pPr>
      <w:suppressLineNumbers/>
      <w:tabs>
        <w:tab w:val="clear" w:pos="709"/>
        <w:tab w:val="center" w:pos="4819" w:leader="none"/>
        <w:tab w:val="right" w:pos="9638" w:leader="none"/>
      </w:tabs>
    </w:pPr>
    <w:rPr/>
  </w:style>
  <w:style w:type="paragraph" w:styleId="Fuzeile">
    <w:name w:val="Footer"/>
    <w:basedOn w:val="Normal"/>
    <w:pPr>
      <w:suppressLineNumbers/>
      <w:tabs>
        <w:tab w:val="clear" w:pos="709"/>
        <w:tab w:val="center" w:pos="4819" w:leader="none"/>
        <w:tab w:val="right" w:pos="9638" w:leader="none"/>
      </w:tabs>
    </w:pPr>
    <w:rPr/>
  </w:style>
  <w:style w:type="paragraph" w:styleId="Funote">
    <w:name w:val="Footnote Text"/>
    <w:basedOn w:val="Normal"/>
    <w:pPr>
      <w:suppressLineNumbers/>
      <w:ind w:left="339" w:hanging="339"/>
    </w:pPr>
    <w:rPr>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
</Relationships>
</file>

<file path=word/_rels/footer1.xml.rels><?xml version="1.0" encoding="UTF-8"?>
<Relationships xmlns="http://schemas.openxmlformats.org/package/2006/relationships"><Relationship Id="rId1" Type="http://schemas.openxmlformats.org/officeDocument/2006/relationships/hyperlink" Target="https://aufstehen-basis.de/community/frieden-und-abruestung" TargetMode="Externa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docProps/app.xml><?xml version="1.0" encoding="utf-8"?>
<Properties xmlns="http://schemas.openxmlformats.org/officeDocument/2006/extended-properties" xmlns:vt="http://schemas.openxmlformats.org/officeDocument/2006/docPropsVTypes">
  <Template>Aufstehen_Vorlage_AG-Frieden</Template>
  <TotalTime>82</TotalTime>
  <Application>LibreOffice/7.1.3.2$Windows_x86 LibreOffice_project/47f78053abe362b9384784d31a6e56f8511eb1c1</Application>
  <AppVersion>15.0000</AppVersion>
  <Pages>2</Pages>
  <Words>669</Words>
  <Characters>4709</Characters>
  <CharactersWithSpaces>5372</CharactersWithSpaces>
  <Paragraphs>27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2021-07-20T12:10:11Z</dcterms:created>
  <dc:creator>Ulrich Leonhardt</dc:creator>
  <dc:description/>
  <dc:language>de-DE</dc:language>
  <cp:lastModifiedBy>Ulrich Leonhardt</cp:lastModifiedBy>
  <cp:lastPrinted>2021-07-20T17:23:07Z</cp:lastPrinted>
  <dcterms:modified xsi:type="dcterms:W3CDTF">2021-07-20T17:22:46Z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file>